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7606" w14:textId="77777777" w:rsidR="00047FB1" w:rsidRDefault="00047FB1">
      <w:pPr>
        <w:spacing w:after="0" w:line="240" w:lineRule="auto"/>
        <w:rPr>
          <w:color w:val="000000"/>
        </w:rPr>
      </w:pPr>
    </w:p>
    <w:p w14:paraId="475AF454" w14:textId="77777777" w:rsidR="00047FB1" w:rsidRDefault="00047FB1">
      <w:pPr>
        <w:spacing w:after="0" w:line="240" w:lineRule="auto"/>
        <w:rPr>
          <w:color w:val="000000"/>
        </w:rPr>
      </w:pPr>
    </w:p>
    <w:p w14:paraId="72325C7A" w14:textId="77777777" w:rsidR="00047FB1" w:rsidRDefault="00047FB1">
      <w:pPr>
        <w:spacing w:after="0" w:line="240" w:lineRule="auto"/>
        <w:rPr>
          <w:color w:val="000000"/>
        </w:rPr>
      </w:pPr>
    </w:p>
    <w:p w14:paraId="163CA380" w14:textId="029E5EB7" w:rsidR="00047FB1" w:rsidRDefault="00047FB1">
      <w:pPr>
        <w:spacing w:after="0" w:line="240" w:lineRule="auto"/>
        <w:rPr>
          <w:color w:val="000000"/>
        </w:rPr>
      </w:pPr>
    </w:p>
    <w:p w14:paraId="7C3C8F9B" w14:textId="2B0664F2" w:rsidR="008B069C" w:rsidRDefault="00047FB1">
      <w:pPr>
        <w:spacing w:after="0" w:line="240" w:lineRule="auto"/>
      </w:pPr>
      <w:r>
        <w:rPr>
          <w:color w:val="000000"/>
        </w:rPr>
        <w:t>Chère voisine, cher voisin,</w:t>
      </w:r>
    </w:p>
    <w:p w14:paraId="3A5E36F4" w14:textId="77777777" w:rsidR="008B069C" w:rsidRDefault="008B069C">
      <w:pPr>
        <w:spacing w:after="0" w:line="240" w:lineRule="auto"/>
      </w:pPr>
    </w:p>
    <w:p w14:paraId="4B6EFC0B" w14:textId="77777777" w:rsidR="008B069C" w:rsidRDefault="00047FB1">
      <w:pPr>
        <w:spacing w:after="0" w:line="240" w:lineRule="auto"/>
      </w:pPr>
      <w:r>
        <w:rPr>
          <w:color w:val="000000"/>
        </w:rPr>
        <w:t>Le 13 juin, nous voterons sur le référendum contre la loi fédérale sur les "mesures policières de lutte contre le terrorisme".</w:t>
      </w:r>
      <w:r>
        <w:rPr>
          <w:b/>
          <w:bCs/>
          <w:color w:val="000000"/>
        </w:rPr>
        <w:t xml:space="preserve"> Le NON à cette loi me tient très à cœur. </w:t>
      </w:r>
    </w:p>
    <w:p w14:paraId="2229C771" w14:textId="77777777" w:rsidR="00047FB1" w:rsidRDefault="00047FB1">
      <w:pPr>
        <w:spacing w:after="0" w:line="240" w:lineRule="auto"/>
        <w:rPr>
          <w:color w:val="000000"/>
        </w:rPr>
      </w:pPr>
    </w:p>
    <w:p w14:paraId="7BC7FDD2" w14:textId="6FDA3B81" w:rsidR="008B069C" w:rsidRDefault="00047FB1">
      <w:pPr>
        <w:spacing w:after="0" w:line="240" w:lineRule="auto"/>
      </w:pPr>
      <w:r>
        <w:rPr>
          <w:color w:val="000000"/>
        </w:rPr>
        <w:t xml:space="preserve">D'après le texte de cette loi, il n'est pas </w:t>
      </w:r>
      <w:r>
        <w:rPr>
          <w:color w:val="000000"/>
        </w:rPr>
        <w:t xml:space="preserve">nécessaire de préparer ou de commettre un acte terroriste pour être </w:t>
      </w:r>
      <w:proofErr w:type="spellStart"/>
      <w:r>
        <w:rPr>
          <w:color w:val="000000"/>
        </w:rPr>
        <w:t>considéré·e</w:t>
      </w:r>
      <w:proofErr w:type="spellEnd"/>
      <w:r>
        <w:rPr>
          <w:color w:val="000000"/>
        </w:rPr>
        <w:t xml:space="preserve"> comme </w:t>
      </w:r>
      <w:proofErr w:type="spellStart"/>
      <w:r>
        <w:rPr>
          <w:color w:val="000000"/>
        </w:rPr>
        <w:t>potentiel·le</w:t>
      </w:r>
      <w:proofErr w:type="spellEnd"/>
      <w:r>
        <w:rPr>
          <w:color w:val="000000"/>
        </w:rPr>
        <w:t xml:space="preserve"> terroriste. Il suffit pour cela que la police pense qu'on pourrait être dangereux ou dangereuse dans le futur. </w:t>
      </w:r>
      <w:r>
        <w:rPr>
          <w:b/>
          <w:bCs/>
          <w:color w:val="000000"/>
        </w:rPr>
        <w:t>Cela compromet déjà le droit fondamental qu'es</w:t>
      </w:r>
      <w:r>
        <w:rPr>
          <w:b/>
          <w:bCs/>
          <w:color w:val="000000"/>
        </w:rPr>
        <w:t>t la présomption d'innocence.</w:t>
      </w:r>
    </w:p>
    <w:p w14:paraId="42615A99" w14:textId="77777777" w:rsidR="008B069C" w:rsidRDefault="008B069C">
      <w:pPr>
        <w:spacing w:after="0" w:line="240" w:lineRule="auto"/>
      </w:pPr>
    </w:p>
    <w:p w14:paraId="2BDD7C6B" w14:textId="77777777" w:rsidR="008B069C" w:rsidRDefault="00047FB1">
      <w:pPr>
        <w:spacing w:after="0" w:line="240" w:lineRule="auto"/>
      </w:pPr>
      <w:r>
        <w:rPr>
          <w:color w:val="000000"/>
        </w:rPr>
        <w:t>Avec cette loi, les personnes qui "propagent la crainte" pourraient également être considérées comme des terroristes. Le texte ne définit pas clairement ce qu'il entend par là, laissant place à l'arbitraire. Cela signifie que</w:t>
      </w:r>
      <w:r>
        <w:rPr>
          <w:color w:val="000000"/>
        </w:rPr>
        <w:t xml:space="preserve"> si, par exemple, quelqu'un alerte des conséquences du réchauffement climatique avec une affiche, ou participe à une manifestation devant une centrale nucléaire, cela peut aussi être considéré comme de la "propagation de la crainte". </w:t>
      </w:r>
      <w:r>
        <w:rPr>
          <w:b/>
          <w:bCs/>
          <w:color w:val="000000"/>
        </w:rPr>
        <w:t>Cette loi est une port</w:t>
      </w:r>
      <w:r>
        <w:rPr>
          <w:b/>
          <w:bCs/>
          <w:color w:val="000000"/>
        </w:rPr>
        <w:t>e ouverte à l'arbitraire et une menace pour notre droit fondamental à nous exprimer politiquement.</w:t>
      </w:r>
    </w:p>
    <w:p w14:paraId="6AFAF0BB" w14:textId="77777777" w:rsidR="008B069C" w:rsidRDefault="008B069C">
      <w:pPr>
        <w:spacing w:after="0" w:line="240" w:lineRule="auto"/>
      </w:pPr>
    </w:p>
    <w:p w14:paraId="37F22A4C" w14:textId="0DECE174" w:rsidR="008B069C" w:rsidRDefault="00047FB1">
      <w:pPr>
        <w:spacing w:after="0" w:line="240" w:lineRule="auto"/>
      </w:pPr>
      <w:r>
        <w:rPr>
          <w:b/>
          <w:color w:val="000000"/>
        </w:rPr>
        <w:t>Sur la seule base de soupçons et d'hypothèses, des mesures radicale pourront être prononcées,</w:t>
      </w:r>
      <w:r>
        <w:rPr>
          <w:color w:val="000000"/>
        </w:rPr>
        <w:t xml:space="preserve"> notamment des assignations à résidence, des interdictions de c</w:t>
      </w:r>
      <w:r>
        <w:rPr>
          <w:color w:val="000000"/>
        </w:rPr>
        <w:t xml:space="preserve">ontact, privations de liberté ou interdictions de quitter le territoire. Il est particulièrement choquant de savoir que nombre de ces mesures pourront être prononcées à l'encontre d'enfants dès l'âge de 12 ans. </w:t>
      </w:r>
      <w:r>
        <w:rPr>
          <w:b/>
          <w:bCs/>
          <w:color w:val="000000"/>
        </w:rPr>
        <w:t xml:space="preserve">C'est contraire à la convention de l'ONU sur </w:t>
      </w:r>
      <w:r>
        <w:rPr>
          <w:b/>
          <w:bCs/>
          <w:color w:val="000000"/>
        </w:rPr>
        <w:t>les droits de l'enfant !</w:t>
      </w:r>
    </w:p>
    <w:p w14:paraId="604D82E5" w14:textId="77777777" w:rsidR="008B069C" w:rsidRDefault="008B069C">
      <w:pPr>
        <w:spacing w:after="0" w:line="240" w:lineRule="auto"/>
      </w:pPr>
    </w:p>
    <w:p w14:paraId="18A36A81" w14:textId="77777777" w:rsidR="008B069C" w:rsidRDefault="00047FB1">
      <w:pPr>
        <w:spacing w:after="0" w:line="240" w:lineRule="auto"/>
      </w:pPr>
      <w:r>
        <w:rPr>
          <w:b/>
          <w:color w:val="000000"/>
        </w:rPr>
        <w:t>Je ne veux pas que nos droits fondamentaux et notre présomption d'innocence soient sacrifiés à une prétendue lutte contre la terreur.</w:t>
      </w:r>
      <w:r>
        <w:rPr>
          <w:color w:val="000000"/>
        </w:rPr>
        <w:br/>
      </w:r>
      <w:r>
        <w:rPr>
          <w:color w:val="000000"/>
        </w:rPr>
        <w:br/>
        <w:t>Je te prie donc de voter NON le 13 juin. NON à la loi sur les mesures policières.</w:t>
      </w:r>
    </w:p>
    <w:p w14:paraId="50398C23" w14:textId="77777777" w:rsidR="008B069C" w:rsidRDefault="008B069C">
      <w:pPr>
        <w:spacing w:after="0" w:line="240" w:lineRule="auto"/>
      </w:pPr>
    </w:p>
    <w:p w14:paraId="4AC1FA2C" w14:textId="34B3AD7F" w:rsidR="008B069C" w:rsidRDefault="00047FB1">
      <w:pPr>
        <w:spacing w:after="0" w:line="240" w:lineRule="auto"/>
      </w:pPr>
      <w:r>
        <w:rPr>
          <w:color w:val="000000"/>
        </w:rPr>
        <w:t>Plus d'infor</w:t>
      </w:r>
      <w:r>
        <w:rPr>
          <w:color w:val="000000"/>
        </w:rPr>
        <w:t>mati</w:t>
      </w:r>
      <w:r>
        <w:rPr>
          <w:color w:val="000000"/>
        </w:rPr>
        <w:t>o</w:t>
      </w:r>
      <w:r>
        <w:rPr>
          <w:color w:val="000000"/>
        </w:rPr>
        <w:t>n</w:t>
      </w:r>
      <w:r>
        <w:rPr>
          <w:color w:val="000000"/>
        </w:rPr>
        <w:t>s</w:t>
      </w:r>
      <w:r>
        <w:rPr>
          <w:color w:val="000000"/>
        </w:rPr>
        <w:t xml:space="preserve"> </w:t>
      </w:r>
      <w:r>
        <w:rPr>
          <w:color w:val="000000"/>
        </w:rPr>
        <w:t>s</w:t>
      </w:r>
      <w:r>
        <w:rPr>
          <w:color w:val="000000"/>
        </w:rPr>
        <w:t>o</w:t>
      </w:r>
      <w:r>
        <w:rPr>
          <w:color w:val="000000"/>
        </w:rPr>
        <w:t>u</w:t>
      </w:r>
      <w:r>
        <w:rPr>
          <w:color w:val="000000"/>
        </w:rPr>
        <w:t>s</w:t>
      </w:r>
      <w:r>
        <w:rPr>
          <w:color w:val="000000"/>
        </w:rPr>
        <w:t> </w:t>
      </w:r>
      <w:r>
        <w:rPr>
          <w:color w:val="000000"/>
        </w:rPr>
        <w:t>:</w:t>
      </w:r>
      <w:r>
        <w:rPr>
          <w:color w:val="000000"/>
        </w:rPr>
        <w:t xml:space="preserve"> </w:t>
      </w:r>
      <w:hyperlink r:id="rId6" w:history="1">
        <w:r w:rsidRPr="00286009">
          <w:rPr>
            <w:rStyle w:val="Hyperlink"/>
          </w:rPr>
          <w:t>www.proteger-les-droits-humains.ch</w:t>
        </w:r>
      </w:hyperlink>
      <w:r>
        <w:t xml:space="preserve"> </w:t>
      </w:r>
      <w:r>
        <w:br/>
      </w:r>
      <w:r>
        <w:br/>
        <w:t>Nous pouvons encore arrêter cette loi, mais le temps est compté ! Rappelle cette votation importante à ton entourage !</w:t>
      </w:r>
    </w:p>
    <w:p w14:paraId="0EA75390" w14:textId="75170B10" w:rsidR="008B069C" w:rsidRDefault="00047FB1">
      <w:pPr>
        <w:numPr>
          <w:ilvl w:val="0"/>
          <w:numId w:val="1"/>
        </w:numPr>
        <w:spacing w:after="0"/>
        <w:ind w:hanging="360"/>
      </w:pPr>
      <w:r>
        <w:rPr>
          <w:color w:val="000000"/>
        </w:rPr>
        <w:t>NON à l'arbitraire policier</w:t>
      </w:r>
      <w:r>
        <w:rPr>
          <w:color w:val="000000"/>
        </w:rPr>
        <w:t xml:space="preserve"> et à la criminalisation des activistes</w:t>
      </w:r>
    </w:p>
    <w:p w14:paraId="443D6C2A" w14:textId="77777777" w:rsidR="008B069C" w:rsidRDefault="00047FB1">
      <w:pPr>
        <w:numPr>
          <w:ilvl w:val="0"/>
          <w:numId w:val="1"/>
        </w:numPr>
        <w:spacing w:after="0"/>
        <w:ind w:hanging="360"/>
      </w:pPr>
      <w:r>
        <w:rPr>
          <w:color w:val="000000"/>
        </w:rPr>
        <w:t>NON à l'abrogation de la présomption d'innocence</w:t>
      </w:r>
    </w:p>
    <w:p w14:paraId="036B7196" w14:textId="77777777" w:rsidR="008B069C" w:rsidRDefault="00047FB1">
      <w:pPr>
        <w:numPr>
          <w:ilvl w:val="0"/>
          <w:numId w:val="1"/>
        </w:numPr>
        <w:spacing w:after="0"/>
        <w:ind w:hanging="360"/>
      </w:pPr>
      <w:r>
        <w:rPr>
          <w:color w:val="000000"/>
        </w:rPr>
        <w:t>NON à l'attaque contre les droits humains et de l'enfant.</w:t>
      </w:r>
    </w:p>
    <w:p w14:paraId="4BF1314D" w14:textId="77777777" w:rsidR="008B069C" w:rsidRDefault="008B069C">
      <w:pPr>
        <w:spacing w:after="0" w:line="240" w:lineRule="auto"/>
      </w:pPr>
    </w:p>
    <w:p w14:paraId="7EFD3E72" w14:textId="77777777" w:rsidR="008B069C" w:rsidRDefault="00047FB1">
      <w:pPr>
        <w:spacing w:after="0" w:line="240" w:lineRule="auto"/>
      </w:pPr>
      <w:r>
        <w:rPr>
          <w:color w:val="000000"/>
        </w:rPr>
        <w:t>NON À LA LOI SUR LES MESURES POLICIÈRES</w:t>
      </w:r>
    </w:p>
    <w:p w14:paraId="545195B2" w14:textId="31045749" w:rsidR="008B069C" w:rsidRDefault="008B069C"/>
    <w:p w14:paraId="58E8B849" w14:textId="0E9566B6" w:rsidR="008B069C" w:rsidRDefault="00047FB1"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8335F4E" wp14:editId="3A1918D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06575" cy="1806575"/>
            <wp:effectExtent l="0" t="0" r="3175" b="317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Meilleures salutations,</w:t>
      </w:r>
    </w:p>
    <w:sectPr w:rsidR="008B069C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4993"/>
    <w:multiLevelType w:val="multilevel"/>
    <w:tmpl w:val="B5389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1A0EB2"/>
    <w:multiLevelType w:val="multilevel"/>
    <w:tmpl w:val="CDD8773C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hAnsi="Noto Sans Symbols" w:cs="Noto Sans Symbols" w:hint="default"/>
        <w:color w:val="000000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9C"/>
    <w:rsid w:val="00047FB1"/>
    <w:rsid w:val="008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DA6A4"/>
  <w15:docId w15:val="{BB34C23B-0D8E-4270-AD91-0EE5771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1">
    <w:name w:val="heading 1"/>
    <w:basedOn w:val="Standard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berschrift2">
    <w:name w:val="heading 2"/>
    <w:basedOn w:val="Standard"/>
    <w:uiPriority w:val="9"/>
    <w:semiHidden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berschrift3">
    <w:name w:val="heading 3"/>
    <w:basedOn w:val="Standard"/>
    <w:uiPriority w:val="9"/>
    <w:semiHidden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berschrift4">
    <w:name w:val="heading 4"/>
    <w:basedOn w:val="Standard"/>
    <w:uiPriority w:val="9"/>
    <w:semiHidden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uiPriority w:val="9"/>
    <w:semiHidden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uiPriority w:val="9"/>
    <w:semiHidden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LienInternet">
    <w:name w:val="Lien Interne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2">
    <w:name w:val="ListLabel 2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3">
    <w:name w:val="ListLabel 3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4">
    <w:name w:val="ListLabel 4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5">
    <w:name w:val="ListLabel 5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6">
    <w:name w:val="ListLabel 6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7">
    <w:name w:val="ListLabel 7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8">
    <w:name w:val="ListLabel 8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9">
    <w:name w:val="ListLabel 9"/>
    <w:qFormat/>
    <w:rPr>
      <w:rFonts w:eastAsia="Noto Sans Symbols" w:cs="Noto Sans Symbols"/>
      <w:color w:val="000000"/>
      <w:sz w:val="22"/>
      <w:szCs w:val="22"/>
    </w:rPr>
  </w:style>
  <w:style w:type="character" w:customStyle="1" w:styleId="ListLabel10">
    <w:name w:val="ListLabel 10"/>
    <w:qFormat/>
    <w:rPr>
      <w:rFonts w:ascii="Arial" w:eastAsia="Arial" w:hAnsi="Arial" w:cs="Arial"/>
      <w:color w:val="1155CC"/>
      <w:sz w:val="22"/>
      <w:szCs w:val="22"/>
      <w:u w:val="none"/>
    </w:rPr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Titel">
    <w:name w:val="Title"/>
    <w:basedOn w:val="Standard"/>
    <w:uiPriority w:val="10"/>
    <w:qFormat/>
    <w:pPr>
      <w:spacing w:before="300"/>
      <w:contextualSpacing/>
    </w:pPr>
    <w:rPr>
      <w:sz w:val="48"/>
      <w:szCs w:val="48"/>
    </w:rPr>
  </w:style>
  <w:style w:type="paragraph" w:styleId="Untertitel">
    <w:name w:val="Subtitle"/>
    <w:basedOn w:val="LO-normal"/>
    <w:uiPriority w:val="11"/>
    <w:qFormat/>
    <w:pPr>
      <w:spacing w:before="200" w:line="240" w:lineRule="auto"/>
    </w:pPr>
    <w:rPr>
      <w:sz w:val="24"/>
      <w:szCs w:val="24"/>
    </w:r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Kopfzeile">
    <w:name w:val="header"/>
    <w:basedOn w:val="Standar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Funotentext">
    <w:name w:val="footnote text"/>
    <w:basedOn w:val="Standard"/>
    <w:uiPriority w:val="99"/>
    <w:semiHidden/>
    <w:unhideWhenUsed/>
    <w:pPr>
      <w:spacing w:after="40" w:line="240" w:lineRule="auto"/>
    </w:pPr>
    <w:rPr>
      <w:sz w:val="18"/>
    </w:rPr>
  </w:style>
  <w:style w:type="paragraph" w:styleId="Endnotentext">
    <w:name w:val="endnote text"/>
    <w:basedOn w:val="Standard"/>
    <w:uiPriority w:val="99"/>
    <w:semiHidden/>
    <w:unhideWhenUsed/>
    <w:pPr>
      <w:spacing w:after="0" w:line="240" w:lineRule="auto"/>
    </w:pPr>
    <w:rPr>
      <w:sz w:val="20"/>
    </w:rPr>
  </w:style>
  <w:style w:type="paragraph" w:styleId="Verzeichnis1">
    <w:name w:val="toc 1"/>
    <w:basedOn w:val="Standard"/>
    <w:uiPriority w:val="39"/>
    <w:unhideWhenUsed/>
    <w:pPr>
      <w:spacing w:after="57"/>
    </w:pPr>
  </w:style>
  <w:style w:type="paragraph" w:styleId="Verzeichnis2">
    <w:name w:val="toc 2"/>
    <w:basedOn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qFormat/>
    <w:pPr>
      <w:spacing w:after="200" w:line="276" w:lineRule="auto"/>
    </w:pPr>
  </w:style>
  <w:style w:type="paragraph" w:styleId="Abbildungsverzeichnis">
    <w:name w:val="table of figures"/>
    <w:basedOn w:val="Standard"/>
    <w:uiPriority w:val="99"/>
    <w:unhideWhenUsed/>
    <w:qFormat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7F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teger-les-droits-humains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uaYC59yOTBtcCXIqiJGcSeQiSQ==">AMUW2mV5rUSuMFOVlfUN1d2ma4tOnzxgnNlcZLQ3oMXofpEkpaTFvN6W2ZEfxNPnur6F+daj9GSRO/I1AQGmuPmx2IUHAb8CyV/t5CyuQn9K9fuu8EECOVBKrwYJFzjfBgwxsXvwjV5fox1mRKIc1vsMJYwb7XWrsaYohWMhDRTUq4cZ4bPCaIaBHlWypbt79PMo2ticUmYXYi78srICdJWK6PQa6Prl3hasHwQyH/Cskbe6pNhTwhfvBbd7Zx3rNt5EYOdabttxFz3rMvAyfHdgnoMCMWjF6Nj2Y0yJVRyq6jNEOD/3nj8//mkcu+l4V1TY0H9izrdIPbUdQiOUXNusi2U8H6r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Nadia Kuhn</cp:lastModifiedBy>
  <cp:revision>2</cp:revision>
  <dcterms:created xsi:type="dcterms:W3CDTF">2021-05-14T11:21:00Z</dcterms:created>
  <dcterms:modified xsi:type="dcterms:W3CDTF">2021-05-14T11:24:00Z</dcterms:modified>
  <dc:language>it-CH</dc:language>
</cp:coreProperties>
</file>