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r>
        <w:rPr/>
        <w:t>Website-Angebot an Kantonalparteien und Sektionen 2022</w:t>
      </w:r>
    </w:p>
    <w:p>
      <w:pPr>
        <w:pStyle w:val="Heading2"/>
        <w:rPr/>
      </w:pPr>
      <w:r>
        <w:rPr/>
        <w:t>Ausgangslage</w:t>
      </w:r>
    </w:p>
    <w:p>
      <w:pPr>
        <w:pStyle w:val="Heading2"/>
        <w:rPr>
          <w:rFonts w:eastAsia="Calibri" w:cs="" w:cstheme="minorBidi" w:eastAsiaTheme="minorHAnsi"/>
          <w:b w:val="false"/>
          <w:b w:val="false"/>
          <w:bCs w:val="false"/>
          <w:sz w:val="22"/>
          <w:szCs w:val="22"/>
        </w:rPr>
      </w:pPr>
      <w:r>
        <w:rPr>
          <w:rFonts w:eastAsia="Calibri" w:cs="" w:cstheme="minorBidi" w:eastAsiaTheme="minorHAnsi"/>
          <w:b w:val="false"/>
          <w:bCs w:val="false"/>
          <w:sz w:val="22"/>
          <w:szCs w:val="22"/>
        </w:rPr>
        <w:t>Die SP Schweiz hat 2022 auf eine neue Website-Lösung gewechselt. Da davon auch etliche Sektionen und Kantonalparteien betroffen sind, liegt der SP Schweiz viel daran, diesen eine ansprechende Lösung anzubieten. Diese basiert auf dem Open-Source-CMS Wordpress.</w:t>
      </w:r>
    </w:p>
    <w:p>
      <w:pPr>
        <w:pStyle w:val="Heading3"/>
        <w:rPr/>
      </w:pPr>
      <w:r>
        <w:rPr/>
        <w:t>Angebot:</w:t>
      </w:r>
    </w:p>
    <w:p>
      <w:pPr>
        <w:pStyle w:val="SP"/>
        <w:rPr/>
      </w:pPr>
      <w:r>
        <w:rPr/>
        <w:t>Die SP Schweiz erstellt für die Kantonalparteien und Sektionen eine eigenständige Instanz nach dem Vorbild der SP-Schweiz-Webseite. Sie stellt schriftliche Unterlagen, Videos und Schulungen zur Verfügung. Für das Pflegen des Inhalts sind die Kantonalparteien und Sektionen selber zuständig. Die Kantonalparteien und Sektionen profitieren nicht nur von einem klaren und übersichtlichen Design und einer Vielfalt an Funktionalitäten. Auch Kosten können eingespart werden, indem mehrere Sites denselben Hoster nutzen, Weiterentwicklungen, Patches und Sicherheitsupdates allen zu Gute kommen, und der Support für alle Seiten gilt.</w:t>
      </w:r>
    </w:p>
    <w:p>
      <w:pPr>
        <w:pStyle w:val="SP"/>
        <w:rPr/>
      </w:pPr>
      <w:r>
        <w:rPr/>
      </w:r>
    </w:p>
    <w:p>
      <w:pPr>
        <w:pStyle w:val="SP"/>
        <w:rPr/>
      </w:pPr>
      <w:r>
        <w:rPr/>
      </w:r>
    </w:p>
    <w:p>
      <w:pPr>
        <w:pStyle w:val="Heading3"/>
        <w:rPr/>
      </w:pPr>
      <w:r>
        <w:rPr/>
        <w:t>Ablauf:</w:t>
      </w:r>
    </w:p>
    <w:tbl>
      <w:tblPr>
        <w:tblStyle w:val="Tabellenraster"/>
        <w:tblW w:w="9062" w:type="dxa"/>
        <w:jc w:val="left"/>
        <w:tblInd w:w="0" w:type="dxa"/>
        <w:tblCellMar>
          <w:top w:w="0" w:type="dxa"/>
          <w:left w:w="108" w:type="dxa"/>
          <w:bottom w:w="0" w:type="dxa"/>
          <w:right w:w="108" w:type="dxa"/>
        </w:tblCellMar>
        <w:tblLook w:val="04a0" w:noHBand="0" w:noVBand="1" w:firstColumn="1" w:lastRow="0" w:lastColumn="0" w:firstRow="1"/>
      </w:tblPr>
      <w:tblGrid>
        <w:gridCol w:w="6924"/>
        <w:gridCol w:w="2137"/>
      </w:tblGrid>
      <w:tr>
        <w:trPr/>
        <w:tc>
          <w:tcPr>
            <w:tcW w:w="6924" w:type="dxa"/>
            <w:tcBorders/>
          </w:tcPr>
          <w:p>
            <w:pPr>
              <w:pStyle w:val="Normal"/>
              <w:spacing w:lineRule="auto" w:line="240" w:before="0" w:after="0"/>
              <w:rPr>
                <w:b/>
                <w:b/>
              </w:rPr>
            </w:pPr>
            <w:r>
              <w:rPr>
                <w:b/>
              </w:rPr>
              <w:t>Aufgabe</w:t>
            </w:r>
          </w:p>
        </w:tc>
        <w:tc>
          <w:tcPr>
            <w:tcW w:w="2137" w:type="dxa"/>
            <w:tcBorders/>
          </w:tcPr>
          <w:p>
            <w:pPr>
              <w:pStyle w:val="Normal"/>
              <w:spacing w:lineRule="auto" w:line="240" w:before="0" w:after="0"/>
              <w:rPr>
                <w:b/>
                <w:b/>
              </w:rPr>
            </w:pPr>
            <w:r>
              <w:rPr>
                <w:b/>
              </w:rPr>
              <w:t>Zuständigkeit</w:t>
            </w:r>
          </w:p>
        </w:tc>
      </w:tr>
      <w:tr>
        <w:trPr/>
        <w:tc>
          <w:tcPr>
            <w:tcW w:w="6924" w:type="dxa"/>
            <w:tcBorders/>
          </w:tcPr>
          <w:p>
            <w:pPr>
              <w:pStyle w:val="ListParagraph"/>
              <w:numPr>
                <w:ilvl w:val="0"/>
                <w:numId w:val="1"/>
              </w:numPr>
              <w:spacing w:lineRule="auto" w:line="240" w:before="0" w:after="0"/>
              <w:contextualSpacing/>
              <w:rPr/>
            </w:pPr>
            <w:r>
              <w:rPr/>
              <w:t>Kick-Off-Meeting / Vorabklärung</w:t>
            </w:r>
          </w:p>
          <w:p>
            <w:pPr>
              <w:pStyle w:val="Normal"/>
              <w:spacing w:lineRule="auto" w:line="240" w:before="0" w:after="0"/>
              <w:rPr/>
            </w:pPr>
            <w:r>
              <w:rPr/>
            </w:r>
          </w:p>
        </w:tc>
        <w:tc>
          <w:tcPr>
            <w:tcW w:w="2137" w:type="dxa"/>
            <w:tcBorders/>
          </w:tcPr>
          <w:p>
            <w:pPr>
              <w:pStyle w:val="Normal"/>
              <w:spacing w:lineRule="auto" w:line="240" w:before="0" w:after="0"/>
              <w:jc w:val="center"/>
              <w:rPr/>
            </w:pPr>
            <w:r>
              <w:rPr/>
              <w:t>SP Schweiz</w:t>
            </w:r>
          </w:p>
        </w:tc>
      </w:tr>
      <w:tr>
        <w:trPr/>
        <w:tc>
          <w:tcPr>
            <w:tcW w:w="6924" w:type="dxa"/>
            <w:tcBorders/>
          </w:tcPr>
          <w:p>
            <w:pPr>
              <w:pStyle w:val="ListParagraph"/>
              <w:numPr>
                <w:ilvl w:val="0"/>
                <w:numId w:val="1"/>
              </w:numPr>
              <w:spacing w:lineRule="auto" w:line="240" w:before="0" w:after="0"/>
              <w:contextualSpacing/>
              <w:rPr/>
            </w:pPr>
            <w:r>
              <w:rPr/>
              <w:t>Entscheid über die Verwendung der Plattform</w:t>
            </w:r>
          </w:p>
          <w:p>
            <w:pPr>
              <w:pStyle w:val="Normal"/>
              <w:spacing w:lineRule="auto" w:line="240" w:before="0" w:after="0"/>
              <w:rPr/>
            </w:pPr>
            <w:r>
              <w:rPr/>
            </w:r>
          </w:p>
        </w:tc>
        <w:tc>
          <w:tcPr>
            <w:tcW w:w="2137" w:type="dxa"/>
            <w:tcBorders/>
          </w:tcPr>
          <w:p>
            <w:pPr>
              <w:pStyle w:val="Normal"/>
              <w:spacing w:lineRule="auto" w:line="240" w:before="0" w:after="0"/>
              <w:jc w:val="center"/>
              <w:rPr/>
            </w:pPr>
            <w:r>
              <w:rPr/>
              <w:t>Kantonalpartei oder Sektion</w:t>
            </w:r>
          </w:p>
        </w:tc>
      </w:tr>
      <w:tr>
        <w:trPr/>
        <w:tc>
          <w:tcPr>
            <w:tcW w:w="6924" w:type="dxa"/>
            <w:tcBorders/>
          </w:tcPr>
          <w:p>
            <w:pPr>
              <w:pStyle w:val="ListParagraph"/>
              <w:numPr>
                <w:ilvl w:val="0"/>
                <w:numId w:val="1"/>
              </w:numPr>
              <w:spacing w:lineRule="auto" w:line="240" w:before="0" w:after="0"/>
              <w:contextualSpacing/>
              <w:rPr/>
            </w:pPr>
            <w:r>
              <w:rPr/>
              <w:t>Setup Wordpress-Instanz</w:t>
            </w:r>
          </w:p>
          <w:p>
            <w:pPr>
              <w:pStyle w:val="Normal"/>
              <w:spacing w:lineRule="auto" w:line="240" w:before="0" w:after="0"/>
              <w:rPr/>
            </w:pPr>
            <w:r>
              <w:rPr/>
            </w:r>
          </w:p>
        </w:tc>
        <w:tc>
          <w:tcPr>
            <w:tcW w:w="2137" w:type="dxa"/>
            <w:tcBorders/>
          </w:tcPr>
          <w:p>
            <w:pPr>
              <w:pStyle w:val="Normal"/>
              <w:spacing w:lineRule="auto" w:line="240" w:before="0" w:after="0"/>
              <w:jc w:val="center"/>
              <w:rPr/>
            </w:pPr>
            <w:r>
              <w:rPr/>
              <w:t>SP Schweiz</w:t>
            </w:r>
          </w:p>
        </w:tc>
      </w:tr>
      <w:tr>
        <w:trPr/>
        <w:tc>
          <w:tcPr>
            <w:tcW w:w="6924" w:type="dxa"/>
            <w:tcBorders/>
          </w:tcPr>
          <w:p>
            <w:pPr>
              <w:pStyle w:val="ListParagraph"/>
              <w:numPr>
                <w:ilvl w:val="0"/>
                <w:numId w:val="1"/>
              </w:numPr>
              <w:spacing w:lineRule="auto" w:line="240" w:before="0" w:after="0"/>
              <w:contextualSpacing/>
              <w:rPr/>
            </w:pPr>
            <w:r>
              <w:rPr/>
              <w:t>Export der bestehenden Daten aus einer Drupal- oder Wordpress-Instanz</w:t>
            </w:r>
          </w:p>
        </w:tc>
        <w:tc>
          <w:tcPr>
            <w:tcW w:w="2137" w:type="dxa"/>
            <w:tcBorders/>
          </w:tcPr>
          <w:p>
            <w:pPr>
              <w:pStyle w:val="Normal"/>
              <w:spacing w:lineRule="auto" w:line="240" w:before="0" w:after="0"/>
              <w:jc w:val="center"/>
              <w:rPr/>
            </w:pPr>
            <w:r>
              <w:rPr/>
              <w:t>SP Schweiz</w:t>
            </w:r>
          </w:p>
        </w:tc>
      </w:tr>
      <w:tr>
        <w:trPr/>
        <w:tc>
          <w:tcPr>
            <w:tcW w:w="6924" w:type="dxa"/>
            <w:tcBorders/>
          </w:tcPr>
          <w:p>
            <w:pPr>
              <w:pStyle w:val="ListParagraph"/>
              <w:numPr>
                <w:ilvl w:val="0"/>
                <w:numId w:val="1"/>
              </w:numPr>
              <w:spacing w:lineRule="auto" w:line="240" w:before="0" w:after="0"/>
              <w:contextualSpacing/>
              <w:rPr/>
            </w:pPr>
            <w:r>
              <w:rPr/>
              <w:t>Import der Daten in die Wordpress-Instanz</w:t>
            </w:r>
          </w:p>
        </w:tc>
        <w:tc>
          <w:tcPr>
            <w:tcW w:w="2137" w:type="dxa"/>
            <w:tcBorders/>
          </w:tcPr>
          <w:p>
            <w:pPr>
              <w:pStyle w:val="Normal"/>
              <w:spacing w:lineRule="auto" w:line="240" w:before="0" w:after="0"/>
              <w:jc w:val="center"/>
              <w:rPr/>
            </w:pPr>
            <w:r>
              <w:rPr/>
              <w:t xml:space="preserve">SP Schweiz </w:t>
            </w:r>
          </w:p>
          <w:p>
            <w:pPr>
              <w:pStyle w:val="Normal"/>
              <w:spacing w:lineRule="auto" w:line="240" w:before="0" w:after="0"/>
              <w:jc w:val="center"/>
              <w:rPr/>
            </w:pPr>
            <w:r>
              <w:rPr/>
            </w:r>
          </w:p>
          <w:p>
            <w:pPr>
              <w:pStyle w:val="Normal"/>
              <w:spacing w:lineRule="auto" w:line="240" w:before="0" w:after="0"/>
              <w:jc w:val="center"/>
              <w:rPr/>
            </w:pPr>
            <w:r>
              <w:rPr/>
              <w:t>oder</w:t>
              <w:br/>
              <w:br/>
              <w:t>PR24 nach Offerte</w:t>
            </w:r>
          </w:p>
        </w:tc>
      </w:tr>
      <w:tr>
        <w:trPr/>
        <w:tc>
          <w:tcPr>
            <w:tcW w:w="6924" w:type="dxa"/>
            <w:tcBorders/>
          </w:tcPr>
          <w:p>
            <w:pPr>
              <w:pStyle w:val="ListParagraph"/>
              <w:numPr>
                <w:ilvl w:val="0"/>
                <w:numId w:val="1"/>
              </w:numPr>
              <w:spacing w:lineRule="auto" w:line="240" w:before="0" w:after="0"/>
              <w:contextualSpacing/>
              <w:rPr/>
            </w:pPr>
            <w:r>
              <w:rPr/>
              <w:t>Abfüllen der Inhalte und Anpassung Multi-Site-Instanz</w:t>
            </w:r>
          </w:p>
          <w:p>
            <w:pPr>
              <w:pStyle w:val="ListParagraph"/>
              <w:numPr>
                <w:ilvl w:val="1"/>
                <w:numId w:val="1"/>
              </w:numPr>
              <w:spacing w:lineRule="auto" w:line="240" w:before="0" w:after="0"/>
              <w:contextualSpacing/>
              <w:rPr/>
            </w:pPr>
            <w:r>
              <w:rPr/>
              <w:t>Start- und Übersichtsseiten</w:t>
            </w:r>
          </w:p>
          <w:p>
            <w:pPr>
              <w:pStyle w:val="ListParagraph"/>
              <w:numPr>
                <w:ilvl w:val="1"/>
                <w:numId w:val="1"/>
              </w:numPr>
              <w:spacing w:lineRule="auto" w:line="240" w:before="0" w:after="0"/>
              <w:contextualSpacing/>
              <w:rPr/>
            </w:pPr>
            <w:r>
              <w:rPr/>
              <w:t>Inhaltsseiten</w:t>
            </w:r>
          </w:p>
          <w:p>
            <w:pPr>
              <w:pStyle w:val="ListParagraph"/>
              <w:numPr>
                <w:ilvl w:val="1"/>
                <w:numId w:val="1"/>
              </w:numPr>
              <w:spacing w:lineRule="auto" w:line="240" w:before="0" w:after="0"/>
              <w:contextualSpacing/>
              <w:rPr/>
            </w:pPr>
            <w:r>
              <w:rPr/>
              <w:t>Personenseiten</w:t>
            </w:r>
          </w:p>
          <w:p>
            <w:pPr>
              <w:pStyle w:val="ListParagraph"/>
              <w:numPr>
                <w:ilvl w:val="1"/>
                <w:numId w:val="1"/>
              </w:numPr>
              <w:spacing w:lineRule="auto" w:line="240" w:before="0" w:after="0"/>
              <w:contextualSpacing/>
              <w:rPr/>
            </w:pPr>
            <w:r>
              <w:rPr/>
              <w:t>Theme-Konfiguration</w:t>
            </w:r>
          </w:p>
          <w:p>
            <w:pPr>
              <w:pStyle w:val="ListParagraph"/>
              <w:numPr>
                <w:ilvl w:val="1"/>
                <w:numId w:val="1"/>
              </w:numPr>
              <w:spacing w:lineRule="auto" w:line="240" w:before="0" w:after="0"/>
              <w:contextualSpacing/>
              <w:rPr/>
            </w:pPr>
            <w:r>
              <w:rPr/>
              <w:t>Bereinigung Grunddaten</w:t>
            </w:r>
          </w:p>
        </w:tc>
        <w:tc>
          <w:tcPr>
            <w:tcW w:w="2137" w:type="dxa"/>
            <w:tcBorders/>
          </w:tcPr>
          <w:p>
            <w:pPr>
              <w:pStyle w:val="Normal"/>
              <w:spacing w:lineRule="auto" w:line="240" w:before="0" w:after="0"/>
              <w:jc w:val="center"/>
              <w:rPr/>
            </w:pPr>
            <w:r>
              <w:rPr/>
              <w:t>Kantonalpartei oder Sektion mit Unterstützung durch die SP Schweiz</w:t>
            </w:r>
          </w:p>
          <w:p>
            <w:pPr>
              <w:pStyle w:val="Normal"/>
              <w:spacing w:lineRule="auto" w:line="240" w:before="0" w:after="0"/>
              <w:jc w:val="center"/>
              <w:rPr/>
            </w:pPr>
            <w:r>
              <w:rPr/>
            </w:r>
          </w:p>
          <w:p>
            <w:pPr>
              <w:pStyle w:val="Normal"/>
              <w:spacing w:lineRule="auto" w:line="240" w:before="0" w:after="0"/>
              <w:jc w:val="center"/>
              <w:rPr/>
            </w:pPr>
            <w:r>
              <w:rPr/>
              <w:t>oder</w:t>
              <w:br/>
              <w:br/>
              <w:t>PR24 nach Offerte</w:t>
            </w:r>
          </w:p>
        </w:tc>
      </w:tr>
      <w:tr>
        <w:trPr/>
        <w:tc>
          <w:tcPr>
            <w:tcW w:w="6924" w:type="dxa"/>
            <w:tcBorders/>
          </w:tcPr>
          <w:p>
            <w:pPr>
              <w:pStyle w:val="ListParagraph"/>
              <w:numPr>
                <w:ilvl w:val="0"/>
                <w:numId w:val="1"/>
              </w:numPr>
              <w:spacing w:lineRule="auto" w:line="240" w:before="0" w:after="0"/>
              <w:contextualSpacing/>
              <w:rPr/>
            </w:pPr>
            <w:r>
              <w:rPr/>
              <w:t>Initiale Schulung der Benutzer:innen und Zurverfügungstellen von Dokumentation und</w:t>
            </w:r>
          </w:p>
        </w:tc>
        <w:tc>
          <w:tcPr>
            <w:tcW w:w="2137" w:type="dxa"/>
            <w:tcBorders/>
          </w:tcPr>
          <w:p>
            <w:pPr>
              <w:pStyle w:val="Normal"/>
              <w:spacing w:lineRule="auto" w:line="240" w:before="0" w:after="0"/>
              <w:jc w:val="center"/>
              <w:rPr/>
            </w:pPr>
            <w:r>
              <w:rPr/>
              <w:t>SP Schweiz</w:t>
            </w:r>
          </w:p>
        </w:tc>
      </w:tr>
      <w:tr>
        <w:trPr/>
        <w:tc>
          <w:tcPr>
            <w:tcW w:w="6924" w:type="dxa"/>
            <w:tcBorders/>
          </w:tcPr>
          <w:p>
            <w:pPr>
              <w:pStyle w:val="ListParagraph"/>
              <w:numPr>
                <w:ilvl w:val="0"/>
                <w:numId w:val="1"/>
              </w:numPr>
              <w:spacing w:lineRule="auto" w:line="240" w:before="0" w:after="0"/>
              <w:contextualSpacing/>
              <w:rPr/>
            </w:pPr>
            <w:r>
              <w:rPr/>
              <w:t>Going-Live</w:t>
            </w:r>
          </w:p>
        </w:tc>
        <w:tc>
          <w:tcPr>
            <w:tcW w:w="2137" w:type="dxa"/>
            <w:tcBorders/>
          </w:tcPr>
          <w:p>
            <w:pPr>
              <w:pStyle w:val="Normal"/>
              <w:spacing w:lineRule="auto" w:line="240" w:before="0" w:after="0"/>
              <w:jc w:val="center"/>
              <w:rPr/>
            </w:pPr>
            <w:r>
              <w:rPr/>
              <w:t xml:space="preserve">SP Schweiz in Absprache mit der Kantonalpartei oder Sektion </w:t>
            </w:r>
          </w:p>
        </w:tc>
      </w:tr>
    </w:tbl>
    <w:p>
      <w:pPr>
        <w:pStyle w:val="Normal"/>
        <w:rPr/>
      </w:pPr>
      <w:r>
        <w:rPr/>
      </w:r>
    </w:p>
    <w:p>
      <w:pPr>
        <w:pStyle w:val="Heading3"/>
        <w:rPr/>
      </w:pPr>
      <w:r>
        <w:rPr/>
        <w:t>Kosten und Optionen</w:t>
        <w:br/>
      </w:r>
    </w:p>
    <w:tbl>
      <w:tblPr>
        <w:tblStyle w:val="Tabellenraster"/>
        <w:tblW w:w="9264" w:type="dxa"/>
        <w:jc w:val="left"/>
        <w:tblInd w:w="0" w:type="dxa"/>
        <w:tblCellMar>
          <w:top w:w="0" w:type="dxa"/>
          <w:left w:w="108" w:type="dxa"/>
          <w:bottom w:w="0" w:type="dxa"/>
          <w:right w:w="108" w:type="dxa"/>
        </w:tblCellMar>
        <w:tblLook w:val="04a0" w:noHBand="0" w:noVBand="1" w:firstColumn="1" w:lastRow="0" w:lastColumn="0" w:firstRow="1"/>
      </w:tblPr>
      <w:tblGrid>
        <w:gridCol w:w="1837"/>
        <w:gridCol w:w="6947"/>
        <w:gridCol w:w="480"/>
      </w:tblGrid>
      <w:tr>
        <w:trPr/>
        <w:tc>
          <w:tcPr>
            <w:tcW w:w="1837" w:type="dxa"/>
            <w:tcBorders/>
          </w:tcPr>
          <w:p>
            <w:pPr>
              <w:pStyle w:val="Normal"/>
              <w:spacing w:lineRule="auto" w:line="240" w:before="0" w:after="0"/>
              <w:rPr>
                <w:b/>
                <w:b/>
              </w:rPr>
            </w:pPr>
            <w:r>
              <w:rPr>
                <w:b/>
              </w:rPr>
              <w:t>Posten</w:t>
            </w:r>
          </w:p>
        </w:tc>
        <w:tc>
          <w:tcPr>
            <w:tcW w:w="6947" w:type="dxa"/>
            <w:tcBorders/>
          </w:tcPr>
          <w:p>
            <w:pPr>
              <w:pStyle w:val="Normal"/>
              <w:spacing w:lineRule="auto" w:line="240" w:before="0" w:after="0"/>
              <w:rPr>
                <w:b/>
                <w:b/>
              </w:rPr>
            </w:pPr>
            <w:r>
              <w:rPr>
                <w:b/>
              </w:rPr>
              <w:t>Kosten in CHF</w:t>
            </w:r>
          </w:p>
        </w:tc>
        <w:tc>
          <w:tcPr>
            <w:tcW w:w="480" w:type="dxa"/>
            <w:tcBorders/>
          </w:tcPr>
          <w:sdt>
            <w:sdtPr>
              <w14:checkbox>
                <w14:checked w:val="1"/>
                <w14:checkedState w:val="2612"/>
                <w14:uncheckedState w:val="2610"/>
              </w14:checkbox>
              <w:id w:val="1743713085"/>
            </w:sdtPr>
            <w:sdtContent>
              <w:p>
                <w:pPr>
                  <w:pStyle w:val="Normal"/>
                  <w:spacing w:lineRule="auto" w:line="240" w:before="0" w:after="0"/>
                  <w:rPr>
                    <w:b/>
                    <w:b/>
                  </w:rPr>
                </w:pPr>
                <w:r>
                  <w:rPr>
                    <w:rFonts w:eastAsia="MS Gothic" w:ascii="MS Gothic" w:hAnsi="MS Gothic"/>
                    <w:b/>
                  </w:rPr>
                  <w:t>☒</w:t>
                </w:r>
              </w:p>
            </w:sdtContent>
          </w:sdt>
        </w:tc>
      </w:tr>
      <w:tr>
        <w:trPr/>
        <w:tc>
          <w:tcPr>
            <w:tcW w:w="1837" w:type="dxa"/>
            <w:tcBorders/>
          </w:tcPr>
          <w:p>
            <w:pPr>
              <w:pStyle w:val="Normal"/>
              <w:spacing w:lineRule="auto" w:line="240" w:before="0" w:after="0"/>
              <w:rPr>
                <w:sz w:val="20"/>
                <w:szCs w:val="20"/>
              </w:rPr>
            </w:pPr>
            <w:r>
              <w:rPr>
                <w:sz w:val="20"/>
                <w:szCs w:val="20"/>
              </w:rPr>
              <w:t>Hosting und Support</w:t>
            </w:r>
          </w:p>
        </w:tc>
        <w:tc>
          <w:tcPr>
            <w:tcW w:w="6947" w:type="dxa"/>
            <w:tcBorders/>
          </w:tcPr>
          <w:p>
            <w:pPr>
              <w:pStyle w:val="Normal"/>
              <w:spacing w:lineRule="auto" w:line="240" w:before="0" w:after="0"/>
              <w:rPr>
                <w:sz w:val="20"/>
                <w:szCs w:val="20"/>
              </w:rPr>
            </w:pPr>
            <w:r>
              <w:rPr>
                <w:sz w:val="20"/>
                <w:szCs w:val="20"/>
              </w:rPr>
              <w:t>Pro Jahr:</w:t>
              <w:br/>
              <w:t>500 CHF – Kantonalparteien mit mehr als 1000 Mitgliedern</w:t>
              <w:br/>
              <w:t>400 CHF – Kantonalparteien mit 300 bis 999 Mitgliedern</w:t>
              <w:br/>
              <w:t>300 CHF – Kantonalparteien mit bis zu 299 Mitgliedern</w:t>
              <w:br/>
              <w:t>100 CHF – Sektionen mit 50 Mitgliedern oder mehr</w:t>
            </w:r>
          </w:p>
          <w:p>
            <w:pPr>
              <w:pStyle w:val="Normal"/>
              <w:spacing w:lineRule="auto" w:line="240" w:before="0" w:after="0"/>
              <w:rPr>
                <w:sz w:val="20"/>
                <w:szCs w:val="20"/>
              </w:rPr>
            </w:pPr>
            <w:r>
              <w:rPr>
                <w:sz w:val="20"/>
                <w:szCs w:val="20"/>
              </w:rPr>
              <w:t>50 CHF – Sektionen mit weniger als 50 Mitgliedern</w:t>
              <w:br/>
            </w:r>
          </w:p>
        </w:tc>
        <w:tc>
          <w:tcPr>
            <w:tcW w:w="480" w:type="dxa"/>
            <w:tcBorders/>
          </w:tcPr>
          <w:p>
            <w:pPr>
              <w:pStyle w:val="Normal"/>
              <w:spacing w:lineRule="auto" w:line="240" w:before="0" w:after="0"/>
              <w:rPr/>
            </w:pPr>
            <w:r>
              <w:rPr/>
            </w:r>
          </w:p>
        </w:tc>
      </w:tr>
      <w:tr>
        <w:trPr/>
        <w:tc>
          <w:tcPr>
            <w:tcW w:w="1837" w:type="dxa"/>
            <w:tcBorders/>
          </w:tcPr>
          <w:p>
            <w:pPr>
              <w:pStyle w:val="Normal"/>
              <w:spacing w:lineRule="auto" w:line="240" w:before="0" w:after="0"/>
              <w:rPr>
                <w:sz w:val="20"/>
                <w:szCs w:val="20"/>
              </w:rPr>
            </w:pPr>
            <w:r>
              <w:rPr>
                <w:sz w:val="20"/>
                <w:szCs w:val="20"/>
              </w:rPr>
              <w:t>Migration</w:t>
            </w:r>
          </w:p>
        </w:tc>
        <w:tc>
          <w:tcPr>
            <w:tcW w:w="6947" w:type="dxa"/>
            <w:tcBorders/>
          </w:tcPr>
          <w:p>
            <w:pPr>
              <w:pStyle w:val="Normal"/>
              <w:spacing w:lineRule="auto" w:line="240" w:before="0" w:after="0"/>
              <w:rPr>
                <w:sz w:val="20"/>
                <w:szCs w:val="20"/>
              </w:rPr>
            </w:pPr>
            <w:r>
              <w:rPr>
                <w:sz w:val="20"/>
                <w:szCs w:val="20"/>
              </w:rPr>
              <w:t>Die Unterstützung durch die SP Schweiz ist kostenlos.</w:t>
            </w:r>
          </w:p>
          <w:p>
            <w:pPr>
              <w:pStyle w:val="Normal"/>
              <w:spacing w:lineRule="auto" w:line="240" w:before="0" w:after="0"/>
              <w:rPr>
                <w:sz w:val="20"/>
                <w:szCs w:val="20"/>
              </w:rPr>
            </w:pPr>
            <w:r>
              <w:rPr>
                <w:sz w:val="20"/>
                <w:szCs w:val="20"/>
              </w:rPr>
              <w:t>Die Unterstützung durch PR24 ist abhängig vom Aufwand. Es kann eine Fixpreis-Offerte erstellt werden.</w:t>
            </w:r>
          </w:p>
          <w:p>
            <w:pPr>
              <w:pStyle w:val="Normal"/>
              <w:spacing w:lineRule="auto" w:line="240" w:before="0" w:after="0"/>
              <w:rPr>
                <w:sz w:val="20"/>
                <w:szCs w:val="20"/>
              </w:rPr>
            </w:pPr>
            <w:r>
              <w:rPr>
                <w:sz w:val="20"/>
                <w:szCs w:val="20"/>
              </w:rPr>
            </w:r>
          </w:p>
        </w:tc>
        <w:tc>
          <w:tcPr>
            <w:tcW w:w="480" w:type="dxa"/>
            <w:tcBorders/>
          </w:tcPr>
          <w:p>
            <w:pPr>
              <w:pStyle w:val="Normal"/>
              <w:spacing w:lineRule="auto" w:line="240" w:before="0" w:after="0"/>
              <w:rPr/>
            </w:pPr>
            <w:r>
              <w:rPr/>
            </w:r>
          </w:p>
        </w:tc>
      </w:tr>
      <w:tr>
        <w:trPr/>
        <w:tc>
          <w:tcPr>
            <w:tcW w:w="1837" w:type="dxa"/>
            <w:tcBorders/>
          </w:tcPr>
          <w:p>
            <w:pPr>
              <w:pStyle w:val="Normal"/>
              <w:spacing w:lineRule="auto" w:line="240" w:before="0" w:after="0"/>
              <w:rPr>
                <w:sz w:val="20"/>
                <w:szCs w:val="20"/>
              </w:rPr>
            </w:pPr>
            <w:r>
              <w:rPr>
                <w:sz w:val="20"/>
                <w:szCs w:val="20"/>
              </w:rPr>
              <w:t>Optional:</w:t>
              <w:br/>
              <w:t>Verwaltung der Domain</w:t>
            </w:r>
          </w:p>
          <w:p>
            <w:pPr>
              <w:pStyle w:val="Normal"/>
              <w:spacing w:lineRule="auto" w:line="240" w:before="0" w:after="0"/>
              <w:rPr>
                <w:sz w:val="20"/>
                <w:szCs w:val="20"/>
              </w:rPr>
            </w:pPr>
            <w:r>
              <w:rPr>
                <w:sz w:val="20"/>
                <w:szCs w:val="20"/>
              </w:rPr>
            </w:r>
          </w:p>
        </w:tc>
        <w:tc>
          <w:tcPr>
            <w:tcW w:w="6947" w:type="dxa"/>
            <w:tcBorders/>
          </w:tcPr>
          <w:p>
            <w:pPr>
              <w:pStyle w:val="Normal"/>
              <w:spacing w:lineRule="auto" w:line="240" w:before="0" w:after="0"/>
              <w:rPr>
                <w:sz w:val="20"/>
                <w:szCs w:val="20"/>
              </w:rPr>
            </w:pPr>
            <w:r>
              <w:rPr>
                <w:sz w:val="20"/>
                <w:szCs w:val="20"/>
              </w:rPr>
              <w:t>20 CHF pro Jahr pro Domain (inkl. Gebühr des Registrars)</w:t>
              <w:br/>
              <w:t>Bei dieser Option ist auch ein Schutz gegen DDoS-Attacken mit Cloudflare inbegriffen.</w:t>
              <w:br/>
            </w:r>
          </w:p>
        </w:tc>
        <w:tc>
          <w:tcPr>
            <w:tcW w:w="480" w:type="dxa"/>
            <w:tcBorders/>
          </w:tcPr>
          <w:sdt>
            <w:sdtPr>
              <w14:checkbox>
                <w14:checked w:val="0"/>
                <w14:checkedState w:val="2612"/>
                <w14:uncheckedState w:val="2610"/>
              </w14:checkbox>
              <w:id w:val="677113657"/>
            </w:sdtPr>
            <w:sdtContent>
              <w:p>
                <w:pPr>
                  <w:pStyle w:val="Normal"/>
                  <w:spacing w:lineRule="auto" w:line="240" w:before="0" w:after="0"/>
                  <w:rPr/>
                </w:pPr>
                <w:r>
                  <w:rPr>
                    <w:rFonts w:eastAsia="MS Gothic" w:ascii="MS Gothic" w:hAnsi="MS Gothic"/>
                  </w:rPr>
                  <w:t>☐</w:t>
                </w:r>
              </w:p>
            </w:sdtContent>
          </w:sdt>
        </w:tc>
      </w:tr>
      <w:tr>
        <w:trPr/>
        <w:tc>
          <w:tcPr>
            <w:tcW w:w="1837" w:type="dxa"/>
            <w:tcBorders/>
          </w:tcPr>
          <w:p>
            <w:pPr>
              <w:pStyle w:val="Normal"/>
              <w:spacing w:lineRule="auto" w:line="240" w:before="0" w:after="0"/>
              <w:rPr>
                <w:sz w:val="20"/>
                <w:szCs w:val="20"/>
              </w:rPr>
            </w:pPr>
            <w:r>
              <w:rPr>
                <w:sz w:val="20"/>
                <w:szCs w:val="20"/>
              </w:rPr>
              <w:t>Optional:</w:t>
            </w:r>
          </w:p>
          <w:p>
            <w:pPr>
              <w:pStyle w:val="Normal"/>
              <w:spacing w:lineRule="auto" w:line="240" w:before="0" w:after="0"/>
              <w:rPr>
                <w:sz w:val="20"/>
                <w:szCs w:val="20"/>
              </w:rPr>
            </w:pPr>
            <w:r>
              <w:rPr>
                <w:sz w:val="20"/>
                <w:szCs w:val="20"/>
              </w:rPr>
              <w:t>Zusätzliche Caching-Optionen von Cloudflare</w:t>
            </w:r>
          </w:p>
          <w:p>
            <w:pPr>
              <w:pStyle w:val="Normal"/>
              <w:spacing w:lineRule="auto" w:line="240" w:before="0" w:after="0"/>
              <w:rPr>
                <w:sz w:val="20"/>
                <w:szCs w:val="20"/>
              </w:rPr>
            </w:pPr>
            <w:r>
              <w:rPr>
                <w:sz w:val="20"/>
                <w:szCs w:val="20"/>
              </w:rPr>
            </w:r>
          </w:p>
        </w:tc>
        <w:tc>
          <w:tcPr>
            <w:tcW w:w="6947" w:type="dxa"/>
            <w:tcBorders/>
          </w:tcPr>
          <w:p>
            <w:pPr>
              <w:pStyle w:val="Normal"/>
              <w:spacing w:lineRule="auto" w:line="240" w:before="0" w:after="0"/>
              <w:rPr>
                <w:sz w:val="20"/>
                <w:szCs w:val="20"/>
              </w:rPr>
            </w:pPr>
            <w:r>
              <w:rPr>
                <w:sz w:val="20"/>
                <w:szCs w:val="20"/>
              </w:rPr>
              <w:t>240 CHF pro Jahr und Domain. Diese Dienstleistung wird nur Kantonalparteien empfehlen, die ein sehr hohes Besucher:innen-Volumen haben und wenn festgestellt wird, dass die Netzwerkbelastung hoch ist.</w:t>
              <w:br/>
            </w:r>
          </w:p>
        </w:tc>
        <w:tc>
          <w:tcPr>
            <w:tcW w:w="480" w:type="dxa"/>
            <w:tcBorders/>
          </w:tcPr>
          <w:sdt>
            <w:sdtPr>
              <w14:checkbox>
                <w14:checked w:val="0"/>
                <w14:checkedState w:val="2612"/>
                <w14:uncheckedState w:val="2610"/>
              </w14:checkbox>
              <w:id w:val="1789389905"/>
            </w:sdtPr>
            <w:sdtContent>
              <w:p>
                <w:pPr>
                  <w:pStyle w:val="Normal"/>
                  <w:spacing w:lineRule="auto" w:line="240" w:before="0" w:after="0"/>
                  <w:rPr/>
                </w:pPr>
                <w:r>
                  <w:rPr>
                    <w:rFonts w:eastAsia="MS Gothic" w:ascii="MS Gothic" w:hAnsi="MS Gothic"/>
                  </w:rPr>
                  <w:t>☐</w:t>
                </w:r>
              </w:p>
            </w:sdtContent>
          </w:sdt>
        </w:tc>
      </w:tr>
      <w:tr>
        <w:trPr/>
        <w:tc>
          <w:tcPr>
            <w:tcW w:w="1837" w:type="dxa"/>
            <w:tcBorders/>
          </w:tcPr>
          <w:p>
            <w:pPr>
              <w:pStyle w:val="Normal"/>
              <w:spacing w:lineRule="auto" w:line="240" w:before="0" w:after="0"/>
              <w:rPr>
                <w:sz w:val="20"/>
                <w:szCs w:val="20"/>
              </w:rPr>
            </w:pPr>
            <w:r>
              <w:rPr>
                <w:sz w:val="20"/>
                <w:szCs w:val="20"/>
              </w:rPr>
              <w:t>Optional:</w:t>
              <w:br/>
              <w:t>Traffic-Analyse</w:t>
            </w:r>
          </w:p>
        </w:tc>
        <w:tc>
          <w:tcPr>
            <w:tcW w:w="6947" w:type="dxa"/>
            <w:tcBorders/>
          </w:tcPr>
          <w:p>
            <w:pPr>
              <w:pStyle w:val="Normal"/>
              <w:spacing w:lineRule="auto" w:line="240" w:before="0" w:after="0"/>
              <w:rPr>
                <w:sz w:val="20"/>
                <w:szCs w:val="20"/>
              </w:rPr>
            </w:pPr>
            <w:r>
              <w:rPr>
                <w:sz w:val="20"/>
                <w:szCs w:val="20"/>
              </w:rPr>
              <w:t>Zugang zum Matomo-Server der SP Schweiz. Dies ist eine Datenschutz-sichere Alternative zu Google Analytics, welche die SP Schweiz betreibt.</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100 CHF pro Jahr</w:t>
            </w:r>
          </w:p>
          <w:p>
            <w:pPr>
              <w:pStyle w:val="Normal"/>
              <w:spacing w:lineRule="auto" w:line="240" w:before="0" w:after="0"/>
              <w:rPr>
                <w:sz w:val="20"/>
                <w:szCs w:val="20"/>
              </w:rPr>
            </w:pPr>
            <w:r>
              <w:rPr>
                <w:sz w:val="20"/>
                <w:szCs w:val="20"/>
              </w:rPr>
            </w:r>
          </w:p>
        </w:tc>
        <w:tc>
          <w:tcPr>
            <w:tcW w:w="480" w:type="dxa"/>
            <w:tcBorders/>
          </w:tcPr>
          <w:sdt>
            <w:sdtPr>
              <w14:checkbox>
                <w14:checked w:val="0"/>
                <w14:checkedState w:val="2612"/>
                <w14:uncheckedState w:val="2610"/>
              </w14:checkbox>
              <w:id w:val="1138092298"/>
            </w:sdtPr>
            <w:sdtContent>
              <w:p>
                <w:pPr>
                  <w:pStyle w:val="Normal"/>
                  <w:spacing w:lineRule="auto" w:line="240" w:before="0" w:after="0"/>
                  <w:rPr/>
                </w:pPr>
                <w:r>
                  <w:rPr>
                    <w:rFonts w:eastAsia="MS Gothic" w:ascii="MS Gothic" w:hAnsi="MS Gothic"/>
                  </w:rPr>
                  <w:t>☐</w:t>
                </w:r>
              </w:p>
            </w:sdtContent>
          </w:sdt>
        </w:tc>
      </w:tr>
      <w:tr>
        <w:trPr/>
        <w:tc>
          <w:tcPr>
            <w:tcW w:w="1837" w:type="dxa"/>
            <w:tcBorders/>
          </w:tcPr>
          <w:p>
            <w:pPr>
              <w:pStyle w:val="Normal"/>
              <w:spacing w:lineRule="auto" w:line="240" w:before="0" w:after="0"/>
              <w:rPr>
                <w:sz w:val="20"/>
                <w:szCs w:val="20"/>
              </w:rPr>
            </w:pPr>
            <w:r>
              <w:rPr>
                <w:sz w:val="20"/>
                <w:szCs w:val="20"/>
              </w:rPr>
              <w:t>Optional:</w:t>
              <w:br/>
              <w:t>Einrichten der Google Search Console</w:t>
            </w:r>
          </w:p>
          <w:p>
            <w:pPr>
              <w:pStyle w:val="Normal"/>
              <w:spacing w:lineRule="auto" w:line="240" w:before="0" w:after="0"/>
              <w:rPr>
                <w:sz w:val="20"/>
                <w:szCs w:val="20"/>
              </w:rPr>
            </w:pPr>
            <w:r>
              <w:rPr>
                <w:sz w:val="20"/>
                <w:szCs w:val="20"/>
              </w:rPr>
            </w:r>
          </w:p>
        </w:tc>
        <w:tc>
          <w:tcPr>
            <w:tcW w:w="6947" w:type="dxa"/>
            <w:tcBorders/>
          </w:tcPr>
          <w:p>
            <w:pPr>
              <w:pStyle w:val="Normal"/>
              <w:spacing w:lineRule="auto" w:line="240" w:before="0" w:after="0"/>
              <w:rPr>
                <w:sz w:val="20"/>
                <w:szCs w:val="20"/>
              </w:rPr>
            </w:pPr>
            <w:r>
              <w:rPr>
                <w:sz w:val="20"/>
                <w:szCs w:val="20"/>
              </w:rPr>
              <w:t>Inkl. Verknüpfung mit Matomo. Für die Analyse der Google-Suchbegriffe (nicht zu verwechseln mit Google Analytics)</w:t>
              <w:br/>
              <w:br/>
              <w:t>100 CHF einmalig</w:t>
            </w:r>
          </w:p>
        </w:tc>
        <w:tc>
          <w:tcPr>
            <w:tcW w:w="480" w:type="dxa"/>
            <w:tcBorders/>
          </w:tcPr>
          <w:sdt>
            <w:sdtPr>
              <w14:checkbox>
                <w14:checked w:val="0"/>
                <w14:checkedState w:val="2612"/>
                <w14:uncheckedState w:val="2610"/>
              </w14:checkbox>
              <w:id w:val="1074113847"/>
            </w:sdtPr>
            <w:sdtContent>
              <w:p>
                <w:pPr>
                  <w:pStyle w:val="Normal"/>
                  <w:spacing w:lineRule="auto" w:line="240" w:before="0" w:after="0"/>
                  <w:rPr/>
                </w:pPr>
                <w:r>
                  <w:rPr>
                    <w:rFonts w:eastAsia="MS Gothic" w:ascii="MS Gothic" w:hAnsi="MS Gothic"/>
                  </w:rPr>
                  <w:t>☐</w:t>
                </w:r>
              </w:p>
            </w:sdtContent>
          </w:sdt>
        </w:tc>
      </w:tr>
      <w:tr>
        <w:trPr/>
        <w:tc>
          <w:tcPr>
            <w:tcW w:w="1837" w:type="dxa"/>
            <w:tcBorders/>
          </w:tcPr>
          <w:p>
            <w:pPr>
              <w:pStyle w:val="Normal"/>
              <w:spacing w:lineRule="auto" w:line="240" w:before="0" w:after="0"/>
              <w:rPr>
                <w:sz w:val="20"/>
                <w:szCs w:val="20"/>
              </w:rPr>
            </w:pPr>
            <w:r>
              <w:rPr>
                <w:sz w:val="20"/>
                <w:szCs w:val="20"/>
              </w:rPr>
              <w:t>Optional:</w:t>
            </w:r>
          </w:p>
          <w:p>
            <w:pPr>
              <w:pStyle w:val="Normal"/>
              <w:spacing w:lineRule="auto" w:line="240" w:before="0" w:after="0"/>
              <w:rPr>
                <w:sz w:val="20"/>
                <w:szCs w:val="20"/>
              </w:rPr>
            </w:pPr>
            <w:r>
              <w:rPr>
                <w:sz w:val="20"/>
                <w:szCs w:val="20"/>
              </w:rPr>
              <w:t>SMTP-Service</w:t>
            </w:r>
          </w:p>
        </w:tc>
        <w:tc>
          <w:tcPr>
            <w:tcW w:w="6947" w:type="dxa"/>
            <w:tcBorders/>
          </w:tcPr>
          <w:p>
            <w:pPr>
              <w:pStyle w:val="Normal"/>
              <w:spacing w:lineRule="auto" w:line="240" w:before="0" w:after="0"/>
              <w:rPr>
                <w:sz w:val="20"/>
                <w:szCs w:val="20"/>
              </w:rPr>
            </w:pPr>
            <w:r>
              <w:rPr>
                <w:sz w:val="20"/>
                <w:szCs w:val="20"/>
              </w:rPr>
              <w:t>Für das Versenden von Mails, z.B. nach dem Ausfüllen des Formulars.</w:t>
              <w:br/>
              <w:t>50 CHF einmalig für das Einrichten.</w:t>
              <w:br/>
              <w:t>20 CHF pro Jahr bei einem Volumen von mehr als 1000 Mails.</w:t>
              <w:br/>
              <w:t>100 CHF pro Jahr bei einem Volumen von mehr als 50'000 Mails.</w:t>
            </w:r>
          </w:p>
          <w:p>
            <w:pPr>
              <w:pStyle w:val="Normal"/>
              <w:spacing w:lineRule="auto" w:line="240" w:before="0" w:after="0"/>
              <w:rPr>
                <w:sz w:val="20"/>
                <w:szCs w:val="20"/>
              </w:rPr>
            </w:pPr>
            <w:r>
              <w:rPr>
                <w:sz w:val="20"/>
                <w:szCs w:val="20"/>
              </w:rPr>
              <w:t>Bei Volumen von mehr als 200'000 Mails auf Anfrage.</w:t>
            </w:r>
          </w:p>
          <w:p>
            <w:pPr>
              <w:pStyle w:val="Normal"/>
              <w:spacing w:lineRule="auto" w:line="240" w:before="0" w:after="0"/>
              <w:rPr>
                <w:sz w:val="20"/>
                <w:szCs w:val="20"/>
              </w:rPr>
            </w:pPr>
            <w:r>
              <w:rPr>
                <w:sz w:val="20"/>
                <w:szCs w:val="20"/>
              </w:rPr>
              <w:t>(Bei einem Volumen von mehreren 10'000 Mails innerhalb eines einzelnen Monats könnte unser Provider uns zusätzliche Kosten in Rechnung stellen. In diesem Fall würden wir das Gespräch mit Euch suchen.)</w:t>
            </w:r>
          </w:p>
          <w:p>
            <w:pPr>
              <w:pStyle w:val="Normal"/>
              <w:spacing w:lineRule="auto" w:line="240" w:before="0" w:after="0"/>
              <w:rPr>
                <w:sz w:val="20"/>
                <w:szCs w:val="20"/>
              </w:rPr>
            </w:pPr>
            <w:r>
              <w:rPr>
                <w:sz w:val="20"/>
                <w:szCs w:val="20"/>
              </w:rPr>
              <w:t>Alternativ kann die Kantonalpartei auch SMTP-Zugangsdaten des eigenen Mailproviders zur Verfügung stellen. In dem Fall müsste sichergestellt sein, dass bei dem Zugang auch der Versand von sinnvollen Versandvolumen möglich ist.</w:t>
            </w:r>
          </w:p>
          <w:p>
            <w:pPr>
              <w:pStyle w:val="Normal"/>
              <w:spacing w:lineRule="auto" w:line="240" w:before="0" w:after="0"/>
              <w:rPr>
                <w:sz w:val="20"/>
                <w:szCs w:val="20"/>
              </w:rPr>
            </w:pPr>
            <w:r>
              <w:rPr>
                <w:sz w:val="20"/>
                <w:szCs w:val="20"/>
              </w:rPr>
            </w:r>
          </w:p>
        </w:tc>
        <w:tc>
          <w:tcPr>
            <w:tcW w:w="480" w:type="dxa"/>
            <w:tcBorders/>
          </w:tcPr>
          <w:sdt>
            <w:sdtPr>
              <w14:checkbox>
                <w14:checked w:val="0"/>
                <w14:checkedState w:val="2612"/>
                <w14:uncheckedState w:val="2610"/>
              </w14:checkbox>
              <w:id w:val="503320625"/>
            </w:sdtPr>
            <w:sdtContent>
              <w:p>
                <w:pPr>
                  <w:pStyle w:val="Normal"/>
                  <w:spacing w:lineRule="auto" w:line="240" w:before="0" w:after="0"/>
                  <w:rPr/>
                </w:pPr>
                <w:r>
                  <w:rPr>
                    <w:rFonts w:eastAsia="MS Gothic" w:ascii="MS Gothic" w:hAnsi="MS Gothic"/>
                  </w:rPr>
                  <w:t>☐</w:t>
                </w:r>
              </w:p>
            </w:sdtContent>
          </w:sdt>
        </w:tc>
      </w:tr>
      <w:tr>
        <w:trPr/>
        <w:tc>
          <w:tcPr>
            <w:tcW w:w="1837" w:type="dxa"/>
            <w:tcBorders/>
          </w:tcPr>
          <w:p>
            <w:pPr>
              <w:pStyle w:val="Normal"/>
              <w:spacing w:lineRule="auto" w:line="240" w:before="0" w:after="0"/>
              <w:rPr>
                <w:sz w:val="20"/>
                <w:szCs w:val="20"/>
              </w:rPr>
            </w:pPr>
            <w:r>
              <w:rPr>
                <w:sz w:val="20"/>
                <w:szCs w:val="20"/>
              </w:rPr>
              <w:t>Optional:</w:t>
              <w:br/>
              <w:t>Demovox Premium</w:t>
            </w:r>
          </w:p>
        </w:tc>
        <w:tc>
          <w:tcPr>
            <w:tcW w:w="6947" w:type="dxa"/>
            <w:tcBorders/>
          </w:tcPr>
          <w:p>
            <w:pPr>
              <w:pStyle w:val="Normal"/>
              <w:spacing w:lineRule="auto" w:line="240" w:before="0" w:after="0"/>
              <w:rPr>
                <w:sz w:val="20"/>
                <w:szCs w:val="20"/>
              </w:rPr>
            </w:pPr>
            <w:r>
              <w:rPr>
                <w:sz w:val="20"/>
                <w:szCs w:val="20"/>
              </w:rPr>
              <w:t>Das Demovox-Plugin für das Sammeln von Unterschriften ist in der Instanz automatisch enthalten. Die Schweiz bietet einen zusätzlichen Dienst dazu an, mit dem im Formular automatisch die korrekte politische Gemeinde und der richtige Kanton ausgefüllt werden.</w:t>
            </w:r>
          </w:p>
          <w:p>
            <w:pPr>
              <w:pStyle w:val="Normal"/>
              <w:spacing w:lineRule="auto" w:line="240" w:before="0" w:after="0"/>
              <w:rPr>
                <w:sz w:val="20"/>
                <w:szCs w:val="20"/>
              </w:rPr>
            </w:pPr>
            <w:r>
              <w:rPr>
                <w:sz w:val="20"/>
                <w:szCs w:val="20"/>
              </w:rPr>
              <w:t>Die Kosten dafür betragen 100 CHF pro Kampagne.</w:t>
            </w:r>
          </w:p>
          <w:p>
            <w:pPr>
              <w:pStyle w:val="Normal"/>
              <w:spacing w:lineRule="auto" w:line="240" w:before="0" w:after="0"/>
              <w:rPr>
                <w:sz w:val="20"/>
                <w:szCs w:val="20"/>
              </w:rPr>
            </w:pPr>
            <w:r>
              <w:rPr>
                <w:sz w:val="20"/>
                <w:szCs w:val="20"/>
              </w:rPr>
            </w:r>
          </w:p>
        </w:tc>
        <w:tc>
          <w:tcPr>
            <w:tcW w:w="480" w:type="dxa"/>
            <w:tcBorders/>
          </w:tcPr>
          <w:sdt>
            <w:sdtPr>
              <w14:checkbox>
                <w14:checked w:val="0"/>
                <w14:checkedState w:val="2612"/>
                <w14:uncheckedState w:val="2610"/>
              </w14:checkbox>
              <w:id w:val="65019293"/>
            </w:sdtPr>
            <w:sdtContent>
              <w:p>
                <w:pPr>
                  <w:pStyle w:val="Normal"/>
                  <w:spacing w:lineRule="auto" w:line="240" w:before="0" w:after="0"/>
                  <w:rPr/>
                </w:pPr>
                <w:r>
                  <w:rPr>
                    <w:rFonts w:eastAsia="MS Gothic" w:ascii="MS Gothic" w:hAnsi="MS Gothic"/>
                  </w:rPr>
                  <w:t>☐</w:t>
                </w:r>
              </w:p>
            </w:sdtContent>
          </w:sdt>
        </w:tc>
      </w:tr>
    </w:tbl>
    <w:p>
      <w:pPr>
        <w:pStyle w:val="Normal"/>
        <w:rPr>
          <w:b/>
          <w:b/>
          <w:bCs/>
        </w:rPr>
      </w:pPr>
      <w:r>
        <w:rPr>
          <w:b/>
          <w:bCs/>
        </w:rPr>
        <w:br/>
        <w:t xml:space="preserve">Kantonalpartei / Sektion: </w:t>
      </w:r>
      <w:sdt>
        <w:sdtPr>
          <w:text/>
        </w:sdtPr>
        <w:sdtContent>
          <w:r>
            <w:rPr>
              <w:rStyle w:val="PlaceholderText"/>
            </w:rPr>
            <w:t>Klicken oder tippen Sie hier, um Text einzugeben.</w:t>
          </w:r>
        </w:sdtContent>
      </w:sdt>
    </w:p>
    <w:p>
      <w:pPr>
        <w:pStyle w:val="Normal"/>
        <w:rPr>
          <w:b/>
          <w:b/>
          <w:bCs/>
        </w:rPr>
      </w:pPr>
      <w:r>
        <w:rPr>
          <w:b/>
          <w:bCs/>
        </w:rPr>
        <w:t xml:space="preserve">Kontaktperson: </w:t>
      </w:r>
      <w:sdt>
        <w:sdtPr>
          <w:text/>
        </w:sdtPr>
        <w:sdtContent>
          <w:r>
            <w:rPr>
              <w:rStyle w:val="PlaceholderText"/>
            </w:rPr>
            <w:t>Klicken oder tippen Sie hier, um Text einzugeben.</w:t>
          </w:r>
        </w:sdtContent>
      </w:sdt>
    </w:p>
    <w:p>
      <w:pPr>
        <w:pStyle w:val="Normal"/>
        <w:rPr>
          <w:b/>
          <w:b/>
          <w:bCs/>
        </w:rPr>
      </w:pPr>
      <w:r>
        <w:rPr>
          <w:b/>
          <w:bCs/>
        </w:rPr>
        <w:t>Rechnungsadresse</w:t>
      </w:r>
      <w:r>
        <w:rPr>
          <w:b/>
          <w:bCs/>
        </w:rPr>
        <w:t xml:space="preserve">: </w:t>
      </w:r>
      <w:sdt>
        <w:sdtPr>
          <w:text/>
        </w:sdtPr>
        <w:sdtContent>
          <w:r>
            <w:rPr>
              <w:rStyle w:val="PlaceholderText"/>
              <w:b w:val="false"/>
              <w:bCs w:val="false"/>
            </w:rPr>
            <w:t>Klicken oder tippen Sie hier, um Text einzugeben.</w:t>
          </w:r>
        </w:sdtContent>
      </w:sdt>
    </w:p>
    <w:p>
      <w:pPr>
        <w:pStyle w:val="Normal"/>
        <w:rPr>
          <w:b/>
          <w:b/>
          <w:bCs/>
        </w:rPr>
      </w:pPr>
      <w:r>
        <w:rPr>
          <w:b/>
          <w:bCs/>
        </w:rPr>
        <w:t xml:space="preserve">Email: </w:t>
      </w:r>
      <w:sdt>
        <w:sdtPr>
          <w:text/>
        </w:sdtPr>
        <w:sdtContent>
          <w:r>
            <w:rPr>
              <w:rStyle w:val="PlaceholderText"/>
            </w:rPr>
            <w:t>Klicken oder tippen Sie hier, um Text einzugeben.</w:t>
          </w:r>
        </w:sdtContent>
      </w:sdt>
    </w:p>
    <w:p>
      <w:pPr>
        <w:pStyle w:val="Normal"/>
        <w:rPr>
          <w:b/>
          <w:b/>
          <w:bCs/>
        </w:rPr>
      </w:pPr>
      <w:r>
        <w:rPr>
          <w:b/>
          <w:bCs/>
        </w:rPr>
        <w:t>Support</w:t>
      </w:r>
    </w:p>
    <w:p>
      <w:pPr>
        <w:pStyle w:val="Normal"/>
        <w:rPr/>
      </w:pPr>
      <w:r>
        <w:rPr/>
        <w:t>Der Link zum Supportformular der SP Schweiz bei Fragen zur Website findet sich unter https://www.sp-ps.ch/hilfe/.</w:t>
      </w:r>
    </w:p>
    <w:p>
      <w:pPr>
        <w:pStyle w:val="Normal"/>
        <w:rPr/>
      </w:pPr>
      <w:r>
        <w:rPr/>
        <w:t>Falls möglich, ist die Kantonalpartei die erste Anspruchsstation bei Supportanfragen. Falls die Kantonalpartei bei einer Frage nicht helfen kann, übernimmt die SP Schweiz den 2nd-Level-Support. Der 3rd-Level-Support wird durch PR24 sichergestellt.</w:t>
      </w:r>
    </w:p>
    <w:p>
      <w:pPr>
        <w:pStyle w:val="Normal"/>
        <w:rPr>
          <w:b/>
          <w:b/>
          <w:bCs/>
        </w:rPr>
      </w:pPr>
      <w:r>
        <w:rPr>
          <w:b/>
          <w:bCs/>
        </w:rPr>
        <w:t>Datenschutz</w:t>
      </w:r>
    </w:p>
    <w:p>
      <w:pPr>
        <w:pStyle w:val="Normal"/>
        <w:rPr/>
      </w:pPr>
      <w:r>
        <w:rPr/>
        <w:t xml:space="preserve">Die neue Website ist sehr gut geeignet, um Online-Petitionen etc. durchzuführen. Damit die unterzeichnenden Personen danach kontaktiert werden können, muss eine entsprechende Einwilligung erfolgen. Wir empfehlen dafür ein Feld mit einer Checkbox und dem Text «Ich bin einverstanden, dass mich die SP auf dem Laufenden hält. Mehr dazu </w:t>
      </w:r>
      <w:r>
        <w:rPr>
          <w:u w:val="single"/>
        </w:rPr>
        <w:t>hier</w:t>
      </w:r>
      <w:r>
        <w:rPr/>
        <w:t>.». Diese Formulierung ist gleichzeitig ehrlich gegenüber den unterzeichnenden Personen, lässt Euch aber alle Möglichkeiten offen, die Personen zu kontaktieren.</w:t>
      </w:r>
    </w:p>
    <w:p>
      <w:pPr>
        <w:pStyle w:val="Normal"/>
        <w:widowControl/>
        <w:bidi w:val="0"/>
        <w:spacing w:lineRule="auto" w:line="276" w:before="0" w:after="200"/>
        <w:jc w:val="left"/>
        <w:rPr/>
      </w:pPr>
      <w:r>
        <w:rPr/>
        <w:t>Um den Support gewährleisten zu können, hat die SP Schweiz Administratoren-Zugang zu allen Wordpress-Instanzen. Sie wird die gesammelten Kontaktangaben jedoch nur auf ausdrücklichen Wunsch von der Kantonalpartei / Sektion verwenden (beispielsweise, um die Personen im Rahmen einer Mobilisierungskampagne anrufen zu können). Voraussetzung ist dabei, dass die Daten so gesammelt wurden, dass die Zustimmung korrekt eingeholt wurde.</w:t>
      </w:r>
    </w:p>
    <w:sectPr>
      <w:headerReference w:type="default" r:id="rId2"/>
      <w:type w:val="nextPage"/>
      <w:pgSz w:w="11906" w:h="16838"/>
      <w:pgMar w:left="1417" w:right="1417" w:header="340" w:top="1138"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NimbusSanNov">
    <w:charset w:val="01"/>
    <w:family w:val="roman"/>
    <w:pitch w:val="variable"/>
  </w:font>
  <w:font w:name="Tahoma">
    <w:charset w:val="01"/>
    <w:family w:val="roman"/>
    <w:pitch w:val="variable"/>
  </w:font>
  <w:font w:name="Liberation Sans">
    <w:altName w:val="Arial"/>
    <w:charset w:val="01"/>
    <w:family w:val="swiss"/>
    <w:pitch w:val="variable"/>
  </w:font>
  <w:font w:name="MS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drawing>
        <wp:inline distT="0" distB="0" distL="0" distR="0">
          <wp:extent cx="825500" cy="873760"/>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1"/>
                  <a:stretch>
                    <a:fillRect/>
                  </a:stretch>
                </pic:blipFill>
                <pic:spPr bwMode="auto">
                  <a:xfrm>
                    <a:off x="0" y="0"/>
                    <a:ext cx="825500" cy="8737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4b08"/>
    <w:pPr>
      <w:widowControl/>
      <w:bidi w:val="0"/>
      <w:spacing w:lineRule="auto" w:line="276" w:before="0" w:after="200"/>
      <w:jc w:val="left"/>
    </w:pPr>
    <w:rPr>
      <w:rFonts w:ascii="NimbusSanNov" w:hAnsi="NimbusSanNov" w:eastAsia="Calibri" w:cs="" w:cstheme="minorBidi" w:eastAsiaTheme="minorHAnsi"/>
      <w:color w:val="auto"/>
      <w:kern w:val="0"/>
      <w:sz w:val="22"/>
      <w:szCs w:val="22"/>
      <w:lang w:val="de-CH" w:eastAsia="en-US" w:bidi="ar-SA"/>
    </w:rPr>
  </w:style>
  <w:style w:type="paragraph" w:styleId="Heading1">
    <w:name w:val="Heading 1"/>
    <w:basedOn w:val="Normal"/>
    <w:next w:val="Normal"/>
    <w:link w:val="berschrift1Zchn"/>
    <w:uiPriority w:val="9"/>
    <w:qFormat/>
    <w:rsid w:val="00114b08"/>
    <w:pPr>
      <w:keepNext w:val="true"/>
      <w:keepLines/>
      <w:spacing w:before="480" w:after="0"/>
      <w:outlineLvl w:val="0"/>
    </w:pPr>
    <w:rPr>
      <w:rFonts w:eastAsia="" w:cs="" w:cstheme="majorBidi" w:eastAsiaTheme="majorEastAsia"/>
      <w:b/>
      <w:bCs/>
      <w:sz w:val="28"/>
      <w:szCs w:val="28"/>
    </w:rPr>
  </w:style>
  <w:style w:type="paragraph" w:styleId="Heading2">
    <w:name w:val="Heading 2"/>
    <w:basedOn w:val="Normal"/>
    <w:next w:val="Normal"/>
    <w:link w:val="berschrift2Zchn"/>
    <w:uiPriority w:val="9"/>
    <w:unhideWhenUsed/>
    <w:qFormat/>
    <w:rsid w:val="00114b08"/>
    <w:pPr>
      <w:keepNext w:val="true"/>
      <w:keepLines/>
      <w:spacing w:before="200" w:after="0"/>
      <w:outlineLvl w:val="1"/>
    </w:pPr>
    <w:rPr>
      <w:rFonts w:eastAsia="" w:cs="" w:cstheme="majorBidi" w:eastAsiaTheme="majorEastAsia"/>
      <w:b/>
      <w:bCs/>
      <w:sz w:val="26"/>
      <w:szCs w:val="26"/>
    </w:rPr>
  </w:style>
  <w:style w:type="paragraph" w:styleId="Heading3">
    <w:name w:val="Heading 3"/>
    <w:basedOn w:val="Normal"/>
    <w:next w:val="Normal"/>
    <w:link w:val="berschrift3Zchn"/>
    <w:uiPriority w:val="9"/>
    <w:unhideWhenUsed/>
    <w:qFormat/>
    <w:rsid w:val="00114b08"/>
    <w:pPr>
      <w:keepNext w:val="true"/>
      <w:keepLines/>
      <w:spacing w:before="200" w:after="0"/>
      <w:outlineLvl w:val="2"/>
    </w:pPr>
    <w:rPr>
      <w:rFonts w:eastAsia="" w:cs="" w:cstheme="majorBidi" w:eastAsiaTheme="majorEastAsia"/>
      <w:b/>
      <w:bCs/>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114b08"/>
    <w:rPr>
      <w:rFonts w:ascii="NimbusSanNov" w:hAnsi="NimbusSanNov"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114b08"/>
    <w:rPr>
      <w:rFonts w:ascii="NimbusSanNov" w:hAnsi="NimbusSanNov"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114b08"/>
    <w:rPr>
      <w:rFonts w:ascii="NimbusSanNov" w:hAnsi="NimbusSanNov" w:eastAsia="" w:cs="" w:cstheme="majorBidi" w:eastAsiaTheme="majorEastAsia"/>
      <w:b/>
      <w:bCs/>
    </w:rPr>
  </w:style>
  <w:style w:type="character" w:styleId="Annotationreference">
    <w:name w:val="annotation reference"/>
    <w:basedOn w:val="DefaultParagraphFont"/>
    <w:uiPriority w:val="99"/>
    <w:semiHidden/>
    <w:unhideWhenUsed/>
    <w:qFormat/>
    <w:rsid w:val="004d17d1"/>
    <w:rPr>
      <w:sz w:val="16"/>
      <w:szCs w:val="16"/>
    </w:rPr>
  </w:style>
  <w:style w:type="character" w:styleId="KommentartextZchn" w:customStyle="1">
    <w:name w:val="Kommentartext Zchn"/>
    <w:basedOn w:val="DefaultParagraphFont"/>
    <w:link w:val="Kommentartext"/>
    <w:uiPriority w:val="99"/>
    <w:semiHidden/>
    <w:qFormat/>
    <w:rsid w:val="004d17d1"/>
    <w:rPr>
      <w:rFonts w:ascii="NimbusSanNov" w:hAnsi="NimbusSanNov"/>
      <w:sz w:val="20"/>
      <w:szCs w:val="20"/>
    </w:rPr>
  </w:style>
  <w:style w:type="character" w:styleId="KommentarthemaZchn" w:customStyle="1">
    <w:name w:val="Kommentarthema Zchn"/>
    <w:basedOn w:val="KommentartextZchn"/>
    <w:link w:val="Kommentarthema"/>
    <w:uiPriority w:val="99"/>
    <w:semiHidden/>
    <w:qFormat/>
    <w:rsid w:val="004d17d1"/>
    <w:rPr>
      <w:rFonts w:ascii="NimbusSanNov" w:hAnsi="NimbusSanNov"/>
      <w:b/>
      <w:bCs/>
      <w:sz w:val="20"/>
      <w:szCs w:val="20"/>
    </w:rPr>
  </w:style>
  <w:style w:type="character" w:styleId="SprechblasentextZchn" w:customStyle="1">
    <w:name w:val="Sprechblasentext Zchn"/>
    <w:basedOn w:val="DefaultParagraphFont"/>
    <w:link w:val="Sprechblasentext"/>
    <w:uiPriority w:val="99"/>
    <w:semiHidden/>
    <w:qFormat/>
    <w:rsid w:val="004d17d1"/>
    <w:rPr>
      <w:rFonts w:ascii="Tahoma" w:hAnsi="Tahoma" w:cs="Tahoma"/>
      <w:sz w:val="16"/>
      <w:szCs w:val="16"/>
    </w:rPr>
  </w:style>
  <w:style w:type="character" w:styleId="InternetLink">
    <w:name w:val="Hyperlink"/>
    <w:basedOn w:val="DefaultParagraphFont"/>
    <w:uiPriority w:val="99"/>
    <w:unhideWhenUsed/>
    <w:rsid w:val="004d17d1"/>
    <w:rPr>
      <w:color w:val="0000FF" w:themeColor="hyperlink"/>
      <w:u w:val="single"/>
    </w:rPr>
  </w:style>
  <w:style w:type="character" w:styleId="KopfzeileZchn" w:customStyle="1">
    <w:name w:val="Kopfzeile Zchn"/>
    <w:basedOn w:val="DefaultParagraphFont"/>
    <w:link w:val="Kopfzeile"/>
    <w:uiPriority w:val="99"/>
    <w:qFormat/>
    <w:rsid w:val="00bf404e"/>
    <w:rPr>
      <w:rFonts w:ascii="NimbusSanNov" w:hAnsi="NimbusSanNov"/>
    </w:rPr>
  </w:style>
  <w:style w:type="character" w:styleId="FuzeileZchn" w:customStyle="1">
    <w:name w:val="Fußzeile Zchn"/>
    <w:basedOn w:val="DefaultParagraphFont"/>
    <w:link w:val="Fuzeile"/>
    <w:uiPriority w:val="99"/>
    <w:qFormat/>
    <w:rsid w:val="00bf404e"/>
    <w:rPr>
      <w:rFonts w:ascii="NimbusSanNov" w:hAnsi="NimbusSanNov"/>
    </w:rPr>
  </w:style>
  <w:style w:type="character" w:styleId="PlaceholderText">
    <w:name w:val="Placeholder Text"/>
    <w:basedOn w:val="DefaultParagraphFont"/>
    <w:uiPriority w:val="99"/>
    <w:semiHidden/>
    <w:qFormat/>
    <w:rsid w:val="000d7a7b"/>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P" w:customStyle="1">
    <w:name w:val="SP"/>
    <w:basedOn w:val="Normal"/>
    <w:qFormat/>
    <w:rsid w:val="00114b08"/>
    <w:pPr/>
    <w:rPr/>
  </w:style>
  <w:style w:type="paragraph" w:styleId="ListParagraph">
    <w:name w:val="List Paragraph"/>
    <w:basedOn w:val="Normal"/>
    <w:uiPriority w:val="34"/>
    <w:qFormat/>
    <w:rsid w:val="008c76ef"/>
    <w:pPr>
      <w:spacing w:before="0" w:after="200"/>
      <w:ind w:left="720" w:hanging="0"/>
      <w:contextualSpacing/>
    </w:pPr>
    <w:rPr/>
  </w:style>
  <w:style w:type="paragraph" w:styleId="Annotationtext">
    <w:name w:val="annotation text"/>
    <w:basedOn w:val="Normal"/>
    <w:link w:val="KommentartextZchn"/>
    <w:uiPriority w:val="99"/>
    <w:semiHidden/>
    <w:unhideWhenUsed/>
    <w:qFormat/>
    <w:rsid w:val="004d17d1"/>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4d17d1"/>
    <w:pPr/>
    <w:rPr>
      <w:b/>
      <w:bCs/>
    </w:rPr>
  </w:style>
  <w:style w:type="paragraph" w:styleId="BalloonText">
    <w:name w:val="Balloon Text"/>
    <w:basedOn w:val="Normal"/>
    <w:link w:val="SprechblasentextZchn"/>
    <w:uiPriority w:val="99"/>
    <w:semiHidden/>
    <w:unhideWhenUsed/>
    <w:qFormat/>
    <w:rsid w:val="004d17d1"/>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KopfzeileZchn"/>
    <w:uiPriority w:val="99"/>
    <w:unhideWhenUsed/>
    <w:rsid w:val="00bf404e"/>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bf404e"/>
    <w:pPr>
      <w:tabs>
        <w:tab w:val="clear" w:pos="708"/>
        <w:tab w:val="center" w:pos="4536" w:leader="none"/>
        <w:tab w:val="right" w:pos="9072" w:leader="none"/>
      </w:tabs>
      <w:spacing w:lineRule="auto" w:line="240" w:before="0" w:after="0"/>
    </w:pPr>
    <w:rPr/>
  </w:style>
  <w:style w:type="paragraph" w:styleId="Revision">
    <w:name w:val="Revision"/>
    <w:uiPriority w:val="99"/>
    <w:semiHidden/>
    <w:qFormat/>
    <w:rsid w:val="00f64d68"/>
    <w:pPr>
      <w:widowControl/>
      <w:bidi w:val="0"/>
      <w:spacing w:lineRule="auto" w:line="240" w:before="0" w:after="0"/>
      <w:jc w:val="left"/>
    </w:pPr>
    <w:rPr>
      <w:rFonts w:ascii="NimbusSanNov" w:hAnsi="NimbusSanNov" w:eastAsia="Calibri" w:cs="" w:cstheme="minorBidi" w:eastAsiaTheme="minorHAnsi"/>
      <w:color w:val="auto"/>
      <w:kern w:val="0"/>
      <w:sz w:val="22"/>
      <w:szCs w:val="22"/>
      <w:lang w:val="de-CH"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8c76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2FDA9D5-8DE7-4D1E-A418-760ADBC97DF9}"/>
      </w:docPartPr>
      <w:docPartBody>
        <w:p w:rsidR="00000000" w:rsidRDefault="00AB49C3">
          <w:r w:rsidRPr="00EE74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mbusSanNov">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C3"/>
    <w:rsid w:val="00AB49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49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3</Pages>
  <Words>789</Words>
  <Characters>4898</Characters>
  <CharactersWithSpaces>5613</CharactersWithSpaces>
  <Paragraphs>77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2022-11-11T12:23:00Z</dcterms:created>
  <dc:creator>Markus Müller</dc:creator>
  <dc:description/>
  <dc:language>en-US</dc:language>
  <cp:lastModifiedBy>Andreas Weibel</cp:lastModifiedBy>
  <cp:lastPrinted>2014-10-30T17:16:00Z</cp:lastPrinted>
  <dcterms:modified xsi:type="dcterms:W3CDTF">2023-01-24T16:48:17Z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